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5A" w:rsidRPr="00D5225A" w:rsidRDefault="00D5225A" w:rsidP="00D5225A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D5225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Kære kollega</w:t>
      </w:r>
    </w:p>
    <w:p w:rsidR="00D5225A" w:rsidRDefault="00D5225A" w:rsidP="00D522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D5225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Det fremgår at patienten henvises med henblik på behandli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ng af platfod</w:t>
      </w:r>
      <w:r w:rsidRPr="00D5225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.</w:t>
      </w:r>
    </w:p>
    <w:p w:rsidR="00C2279C" w:rsidRDefault="00D5225A" w:rsidP="00D522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>Platfod (dm 21.4/</w:t>
      </w:r>
      <w:proofErr w:type="spellStart"/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>dq</w:t>
      </w:r>
      <w:proofErr w:type="spellEnd"/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 xml:space="preserve"> </w:t>
      </w:r>
      <w:proofErr w:type="gramStart"/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>66.5</w:t>
      </w:r>
      <w:proofErr w:type="gramEnd"/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 xml:space="preserve">)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er en fodstilling, som er karakteriseret ved affladet svang og en vis grad af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valgusstilling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i bagfoden. Den erhvervede platfod skyldes degeneration af strukturer i foden, som giver formændring og </w:t>
      </w:r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belastningsrelaterede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smerter i svangen og bagfoden</w:t>
      </w:r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. I a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ndre tilfælde er </w:t>
      </w:r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platfoden familiær, medfødt, benign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og flek</w:t>
      </w:r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sibel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, disse tilfælde giver ikke anledning til gener eller kun til moderate, belastningsrelaterede smerter. </w:t>
      </w:r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Objektivt er der ingen synlig forskel på de to tilstande og behandlingen er ens. Når man beder patienten stå på tæer vil </w:t>
      </w:r>
      <w:proofErr w:type="spellStart"/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calcaneus</w:t>
      </w:r>
      <w:proofErr w:type="spellEnd"/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trække i </w:t>
      </w:r>
      <w:proofErr w:type="spellStart"/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varus</w:t>
      </w:r>
      <w:proofErr w:type="spellEnd"/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, hvilket lettest vurderes når patienten har ryggen til undersøger. Radiologisk vurderes tilstanden med stående </w:t>
      </w:r>
      <w:proofErr w:type="spellStart"/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rtg</w:t>
      </w:r>
      <w:proofErr w:type="spellEnd"/>
      <w:r w:rsidR="00C2279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af foden i sideplan og AP-plan.</w:t>
      </w:r>
    </w:p>
    <w:p w:rsidR="00C2279C" w:rsidRDefault="00C2279C" w:rsidP="00D522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proofErr w:type="spellStart"/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>Differential</w:t>
      </w:r>
      <w:proofErr w:type="spellEnd"/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 xml:space="preserve"> diagnose: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Fikseret platfod eller begyndende fikseret platfod </w:t>
      </w:r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– her trækker </w:t>
      </w:r>
      <w:proofErr w:type="spellStart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calcaneus</w:t>
      </w:r>
      <w:proofErr w:type="spellEnd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ikke i </w:t>
      </w:r>
      <w:proofErr w:type="spellStart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varus</w:t>
      </w:r>
      <w:proofErr w:type="spellEnd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ved </w:t>
      </w:r>
      <w:proofErr w:type="spellStart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tåstand</w:t>
      </w:r>
      <w:proofErr w:type="spellEnd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, og patienten bør have taget </w:t>
      </w:r>
      <w:proofErr w:type="spellStart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rtg</w:t>
      </w:r>
      <w:proofErr w:type="spellEnd"/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som ovenfor anført og </w:t>
      </w:r>
      <w:r w:rsidR="00691978" w:rsidRPr="00691978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 xml:space="preserve">henvises </w:t>
      </w:r>
      <w:r w:rsid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til fod &amp; ankelsektoren.</w:t>
      </w:r>
    </w:p>
    <w:p w:rsidR="00691978" w:rsidRPr="00691978" w:rsidRDefault="00691978" w:rsidP="00691978">
      <w:pPr>
        <w:pStyle w:val="Brdtekst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 xml:space="preserve">Behandling: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den fleksible platfod behandles med indlæg, som kan erhverves i sportsbutik eller sygeplejebutik. Hvis disse indlæg ikke afhjælper tilstanden tilstrækkeligt, kan henvises til bandagist med henblik på udformning af afstøbningsindlæg. </w:t>
      </w:r>
      <w:r w:rsidRP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Dette kræver </w:t>
      </w:r>
      <w:r w:rsidRPr="00691978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da-DK"/>
        </w:rPr>
        <w:t>ikke</w:t>
      </w:r>
      <w:r w:rsidRP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ortopædkirurgisk speciallæge vurdering. Der ydes ikke kommunalt tilskud til indlæg for nedsunken forfod, medmindre </w:t>
      </w:r>
      <w:proofErr w:type="gramStart"/>
      <w:r w:rsidRP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et</w:t>
      </w:r>
      <w:proofErr w:type="gramEnd"/>
      <w:r w:rsidRPr="0069197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af følgende tilstande er tilstede: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1. Leddegigt med svært forfodsfald og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tådeformiteter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.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2. Sårdannelser og risiko for sår i fodsålen med føleforstyrrelser som følge af sukkersyge, kroniske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proofErr w:type="gram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nervelidelser eller ved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kredslø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it-IT" w:eastAsia="da-DK"/>
        </w:rPr>
        <w:t>bsinsufficiens.</w:t>
      </w:r>
      <w:proofErr w:type="gramEnd"/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3. Svært forfodsfald ved samtidig dårligt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sv-SE" w:eastAsia="da-DK"/>
        </w:rPr>
        <w:t>blodoml</w:t>
      </w: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øb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.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4. Stiv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fodrod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 (medfødte sammenvoksninger,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coalitio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), svære fejlstillinger efter brud på fodrodsknogler, kroniske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ledbetændelser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 eller leddegigt.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5. Erhvervet platfod som følge af degeneration, blandt andet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tibialis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posterior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 insufficiens.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6. Aflastning af varigt smertende ar i fodsålen.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7. Andre foddeformiteter af tilsvarende sværhedsgrad efter særlig begrundelse, fx svært fikseret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platfod, svær slaphed af ledbånd og </w:t>
      </w:r>
      <w:proofErr w:type="spellStart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ledkapsler</w:t>
      </w:r>
      <w:proofErr w:type="spellEnd"/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, </w:t>
      </w: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pt-PT" w:eastAsia="da-DK"/>
        </w:rPr>
        <w:t>samt osteogenesis imperfecta.</w:t>
      </w: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 xml:space="preserve"> </w:t>
      </w:r>
    </w:p>
    <w:p w:rsidR="0069197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</w:pPr>
      <w:r w:rsidRPr="0069197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da-DK"/>
        </w:rPr>
        <w:t>Der kan således ikke ydes hjælp til indlæg ved almindelig platfod eller blød platfod hos børn.</w:t>
      </w:r>
    </w:p>
    <w:p w:rsidR="00691978" w:rsidRDefault="00691978" w:rsidP="00D522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</w:p>
    <w:p w:rsidR="00AA430C" w:rsidRDefault="00AA430C" w:rsidP="00D522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tillader os derfor at returnere henvisningen.</w:t>
      </w:r>
    </w:p>
    <w:p w:rsidR="00AA430C" w:rsidRPr="00D5225A" w:rsidRDefault="00AA430C" w:rsidP="00D522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bookmarkStart w:id="0" w:name="_GoBack"/>
      <w:bookmarkEnd w:id="0"/>
    </w:p>
    <w:p w:rsidR="00691978" w:rsidRPr="006678F0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6678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Med venlig hilsen</w:t>
      </w:r>
    </w:p>
    <w:p w:rsidR="00F506A8" w:rsidRPr="00691978" w:rsidRDefault="00691978" w:rsidP="0069197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6678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lastRenderedPageBreak/>
        <w:t>Fod &amp; ankel sektoren, ortopædkirurgisk afd. O, OUH.</w:t>
      </w:r>
    </w:p>
    <w:sectPr w:rsidR="00F506A8" w:rsidRPr="00691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5A"/>
    <w:rsid w:val="00015616"/>
    <w:rsid w:val="002961E0"/>
    <w:rsid w:val="004474C2"/>
    <w:rsid w:val="00687E4B"/>
    <w:rsid w:val="00691978"/>
    <w:rsid w:val="00745E9E"/>
    <w:rsid w:val="00773C58"/>
    <w:rsid w:val="007B7933"/>
    <w:rsid w:val="00803D9A"/>
    <w:rsid w:val="00870A68"/>
    <w:rsid w:val="00894BFC"/>
    <w:rsid w:val="009848E9"/>
    <w:rsid w:val="009E55CC"/>
    <w:rsid w:val="00AA430C"/>
    <w:rsid w:val="00AA65C6"/>
    <w:rsid w:val="00AB40A6"/>
    <w:rsid w:val="00BC143B"/>
    <w:rsid w:val="00C2279C"/>
    <w:rsid w:val="00D5225A"/>
    <w:rsid w:val="00E33552"/>
    <w:rsid w:val="00F506A8"/>
    <w:rsid w:val="00F83CC4"/>
    <w:rsid w:val="00F938E5"/>
    <w:rsid w:val="00FB048B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69197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91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69197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9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Frøkjær</dc:creator>
  <cp:lastModifiedBy>Lonnie Froberg</cp:lastModifiedBy>
  <cp:revision>2</cp:revision>
  <dcterms:created xsi:type="dcterms:W3CDTF">2020-05-30T05:18:00Z</dcterms:created>
  <dcterms:modified xsi:type="dcterms:W3CDTF">2020-05-30T05:18:00Z</dcterms:modified>
</cp:coreProperties>
</file>